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i w:val="0"/>
          <w:caps w:val="0"/>
          <w:color w:val="333333"/>
          <w:spacing w:val="0"/>
          <w:sz w:val="36"/>
          <w:szCs w:val="36"/>
          <w:bdr w:val="none" w:color="auto" w:sz="0" w:space="0"/>
          <w:shd w:val="clear" w:fill="FFFFFF"/>
        </w:rPr>
      </w:pPr>
      <w:bookmarkStart w:id="0" w:name="_GoBack"/>
      <w:r>
        <w:rPr>
          <w:rFonts w:hint="eastAsia" w:ascii="微软雅黑" w:hAnsi="微软雅黑" w:eastAsia="微软雅黑" w:cs="微软雅黑"/>
          <w:i w:val="0"/>
          <w:caps w:val="0"/>
          <w:color w:val="333333"/>
          <w:spacing w:val="0"/>
          <w:sz w:val="36"/>
          <w:szCs w:val="36"/>
          <w:bdr w:val="none" w:color="auto" w:sz="0" w:space="0"/>
          <w:shd w:val="clear" w:fill="FFFFFF"/>
        </w:rPr>
        <w:t>构建诚信 惩戒失信”合作备忘录</w:t>
      </w:r>
    </w:p>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rPr>
          <w:color w:val="333333"/>
          <w:sz w:val="21"/>
          <w:szCs w:val="21"/>
        </w:rPr>
      </w:pPr>
      <w:r>
        <w:rPr>
          <w:rStyle w:val="6"/>
          <w:rFonts w:hint="eastAsia" w:ascii="宋体" w:hAnsi="宋体" w:eastAsia="宋体" w:cs="宋体"/>
          <w:i w:val="0"/>
          <w:caps w:val="0"/>
          <w:color w:val="333333"/>
          <w:spacing w:val="0"/>
          <w:sz w:val="21"/>
          <w:szCs w:val="21"/>
          <w:bdr w:val="none" w:color="auto" w:sz="0" w:space="0"/>
          <w:shd w:val="clear" w:fill="FFFFFF"/>
        </w:rPr>
        <w:t>最高人民法院、中国银监会等八部委共同签署惩戒失信的合作备忘录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rPr>
          <w:color w:val="333333"/>
          <w:sz w:val="21"/>
          <w:szCs w:val="21"/>
        </w:rPr>
      </w:pPr>
      <w:r>
        <w:rPr>
          <w:rStyle w:val="6"/>
          <w:rFonts w:hint="eastAsia" w:ascii="宋体" w:hAnsi="宋体" w:eastAsia="宋体" w:cs="宋体"/>
          <w:i w:val="0"/>
          <w:caps w:val="0"/>
          <w:color w:val="333333"/>
          <w:spacing w:val="0"/>
          <w:sz w:val="21"/>
          <w:szCs w:val="21"/>
          <w:bdr w:val="none" w:color="auto" w:sz="0" w:space="0"/>
          <w:shd w:val="clear" w:fill="FFFFFF"/>
        </w:rPr>
        <w:t>失信人员将会被限制出境、限制高消费、盛飞机、</w:t>
      </w:r>
      <w:r>
        <w:rPr>
          <w:rStyle w:val="6"/>
          <w:rFonts w:hint="eastAsia" w:ascii="宋体" w:hAnsi="宋体" w:eastAsia="宋体" w:cs="宋体"/>
          <w:i w:val="0"/>
          <w:caps w:val="0"/>
          <w:color w:val="07519A"/>
          <w:spacing w:val="0"/>
          <w:sz w:val="21"/>
          <w:szCs w:val="21"/>
          <w:u w:val="none"/>
          <w:bdr w:val="none" w:color="auto" w:sz="0" w:space="0"/>
          <w:shd w:val="clear" w:fill="FFFFFF"/>
        </w:rPr>
        <w:fldChar w:fldCharType="begin"/>
      </w:r>
      <w:r>
        <w:rPr>
          <w:rStyle w:val="6"/>
          <w:rFonts w:hint="eastAsia" w:ascii="宋体" w:hAnsi="宋体" w:eastAsia="宋体" w:cs="宋体"/>
          <w:i w:val="0"/>
          <w:caps w:val="0"/>
          <w:color w:val="07519A"/>
          <w:spacing w:val="0"/>
          <w:sz w:val="21"/>
          <w:szCs w:val="21"/>
          <w:u w:val="none"/>
          <w:bdr w:val="none" w:color="auto" w:sz="0" w:space="0"/>
          <w:shd w:val="clear" w:fill="FFFFFF"/>
        </w:rPr>
        <w:instrText xml:space="preserve"> HYPERLINK "https://www.66law.cn/question/20535979.aspx" \o "贷款" \t "https://www.66law.cn/domainblog/_blank" </w:instrText>
      </w:r>
      <w:r>
        <w:rPr>
          <w:rStyle w:val="6"/>
          <w:rFonts w:hint="eastAsia" w:ascii="宋体" w:hAnsi="宋体" w:eastAsia="宋体" w:cs="宋体"/>
          <w:i w:val="0"/>
          <w:caps w:val="0"/>
          <w:color w:val="07519A"/>
          <w:spacing w:val="0"/>
          <w:sz w:val="21"/>
          <w:szCs w:val="21"/>
          <w:u w:val="none"/>
          <w:bdr w:val="none" w:color="auto" w:sz="0" w:space="0"/>
          <w:shd w:val="clear" w:fill="FFFFFF"/>
        </w:rPr>
        <w:fldChar w:fldCharType="separate"/>
      </w:r>
      <w:r>
        <w:rPr>
          <w:rStyle w:val="7"/>
          <w:rFonts w:hint="eastAsia" w:ascii="宋体" w:hAnsi="宋体" w:eastAsia="宋体" w:cs="宋体"/>
          <w:i w:val="0"/>
          <w:caps w:val="0"/>
          <w:color w:val="07519A"/>
          <w:spacing w:val="0"/>
          <w:sz w:val="21"/>
          <w:szCs w:val="21"/>
          <w:u w:val="none"/>
          <w:bdr w:val="none" w:color="auto" w:sz="0" w:space="0"/>
          <w:shd w:val="clear" w:fill="FFFFFF"/>
        </w:rPr>
        <w:t>贷款</w:t>
      </w:r>
      <w:r>
        <w:rPr>
          <w:rStyle w:val="6"/>
          <w:rFonts w:hint="eastAsia" w:ascii="宋体" w:hAnsi="宋体" w:eastAsia="宋体" w:cs="宋体"/>
          <w:i w:val="0"/>
          <w:caps w:val="0"/>
          <w:color w:val="07519A"/>
          <w:spacing w:val="0"/>
          <w:sz w:val="21"/>
          <w:szCs w:val="21"/>
          <w:u w:val="none"/>
          <w:bdr w:val="none" w:color="auto" w:sz="0" w:space="0"/>
          <w:shd w:val="clear" w:fill="FFFFFF"/>
        </w:rPr>
        <w:fldChar w:fldCharType="end"/>
      </w:r>
      <w:r>
        <w:rPr>
          <w:rStyle w:val="6"/>
          <w:rFonts w:hint="eastAsia" w:ascii="宋体" w:hAnsi="宋体" w:eastAsia="宋体" w:cs="宋体"/>
          <w:i w:val="0"/>
          <w:caps w:val="0"/>
          <w:color w:val="333333"/>
          <w:spacing w:val="0"/>
          <w:sz w:val="21"/>
          <w:szCs w:val="21"/>
          <w:bdr w:val="none" w:color="auto" w:sz="0" w:space="0"/>
          <w:shd w:val="clear" w:fill="FFFFFF"/>
        </w:rPr>
        <w:t>、办信用卡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rPr>
          <w:color w:val="333333"/>
          <w:sz w:val="21"/>
          <w:szCs w:val="21"/>
        </w:rPr>
      </w:pPr>
      <w:r>
        <w:rPr>
          <w:rStyle w:val="6"/>
          <w:rFonts w:hint="eastAsia" w:ascii="宋体" w:hAnsi="宋体" w:eastAsia="宋体" w:cs="宋体"/>
          <w:i w:val="0"/>
          <w:caps w:val="0"/>
          <w:color w:val="333333"/>
          <w:spacing w:val="0"/>
          <w:sz w:val="21"/>
          <w:szCs w:val="21"/>
          <w:bdr w:val="none" w:color="auto" w:sz="0" w:space="0"/>
          <w:shd w:val="clear" w:fill="FFFFFF"/>
        </w:rPr>
        <w:t>中央文明办、最高人民法院、公安部、国务院国资委、国家工商总局、中国银监会、中国民用航空局、中国铁路总</w:t>
      </w:r>
      <w:r>
        <w:rPr>
          <w:rStyle w:val="6"/>
          <w:rFonts w:hint="eastAsia" w:ascii="宋体" w:hAnsi="宋体" w:eastAsia="宋体" w:cs="宋体"/>
          <w:i w:val="0"/>
          <w:caps w:val="0"/>
          <w:color w:val="07519A"/>
          <w:spacing w:val="0"/>
          <w:sz w:val="21"/>
          <w:szCs w:val="21"/>
          <w:u w:val="none"/>
          <w:bdr w:val="none" w:color="auto" w:sz="0" w:space="0"/>
          <w:shd w:val="clear" w:fill="FFFFFF"/>
        </w:rPr>
        <w:fldChar w:fldCharType="begin"/>
      </w:r>
      <w:r>
        <w:rPr>
          <w:rStyle w:val="6"/>
          <w:rFonts w:hint="eastAsia" w:ascii="宋体" w:hAnsi="宋体" w:eastAsia="宋体" w:cs="宋体"/>
          <w:i w:val="0"/>
          <w:caps w:val="0"/>
          <w:color w:val="07519A"/>
          <w:spacing w:val="0"/>
          <w:sz w:val="21"/>
          <w:szCs w:val="21"/>
          <w:u w:val="none"/>
          <w:bdr w:val="none" w:color="auto" w:sz="0" w:space="0"/>
          <w:shd w:val="clear" w:fill="FFFFFF"/>
        </w:rPr>
        <w:instrText xml:space="preserve"> HYPERLINK "https://v.66law.cn/shuofa/gsf/gsfgd/" \o "公司" \t "https://www.66law.cn/domainblog/_blank" </w:instrText>
      </w:r>
      <w:r>
        <w:rPr>
          <w:rStyle w:val="6"/>
          <w:rFonts w:hint="eastAsia" w:ascii="宋体" w:hAnsi="宋体" w:eastAsia="宋体" w:cs="宋体"/>
          <w:i w:val="0"/>
          <w:caps w:val="0"/>
          <w:color w:val="07519A"/>
          <w:spacing w:val="0"/>
          <w:sz w:val="21"/>
          <w:szCs w:val="21"/>
          <w:u w:val="none"/>
          <w:bdr w:val="none" w:color="auto" w:sz="0" w:space="0"/>
          <w:shd w:val="clear" w:fill="FFFFFF"/>
        </w:rPr>
        <w:fldChar w:fldCharType="separate"/>
      </w:r>
      <w:r>
        <w:rPr>
          <w:rStyle w:val="7"/>
          <w:rFonts w:hint="eastAsia" w:ascii="宋体" w:hAnsi="宋体" w:eastAsia="宋体" w:cs="宋体"/>
          <w:i w:val="0"/>
          <w:caps w:val="0"/>
          <w:color w:val="07519A"/>
          <w:spacing w:val="0"/>
          <w:sz w:val="21"/>
          <w:szCs w:val="21"/>
          <w:u w:val="none"/>
          <w:bdr w:val="none" w:color="auto" w:sz="0" w:space="0"/>
          <w:shd w:val="clear" w:fill="FFFFFF"/>
        </w:rPr>
        <w:t>公司</w:t>
      </w:r>
      <w:r>
        <w:rPr>
          <w:rStyle w:val="6"/>
          <w:rFonts w:hint="eastAsia" w:ascii="宋体" w:hAnsi="宋体" w:eastAsia="宋体" w:cs="宋体"/>
          <w:i w:val="0"/>
          <w:caps w:val="0"/>
          <w:color w:val="07519A"/>
          <w:spacing w:val="0"/>
          <w:sz w:val="21"/>
          <w:szCs w:val="21"/>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center"/>
        <w:rPr>
          <w:color w:val="333333"/>
          <w:sz w:val="21"/>
          <w:szCs w:val="21"/>
        </w:rPr>
      </w:pPr>
      <w:r>
        <w:rPr>
          <w:rStyle w:val="6"/>
          <w:rFonts w:hint="eastAsia" w:ascii="宋体" w:hAnsi="宋体" w:eastAsia="宋体" w:cs="宋体"/>
          <w:i w:val="0"/>
          <w:caps w:val="0"/>
          <w:color w:val="333333"/>
          <w:spacing w:val="0"/>
          <w:sz w:val="21"/>
          <w:szCs w:val="21"/>
          <w:bdr w:val="none" w:color="auto" w:sz="0" w:space="0"/>
          <w:shd w:val="clear" w:fill="FFFFFF"/>
        </w:rPr>
        <w:t>关于印发《“构建诚信 惩戒失信”合作备忘录》的通知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right"/>
        <w:rPr>
          <w:color w:val="333333"/>
          <w:sz w:val="21"/>
          <w:szCs w:val="21"/>
        </w:rPr>
      </w:pPr>
      <w:r>
        <w:rPr>
          <w:rStyle w:val="6"/>
          <w:rFonts w:hint="eastAsia" w:ascii="宋体" w:hAnsi="宋体" w:eastAsia="宋体" w:cs="宋体"/>
          <w:i w:val="0"/>
          <w:caps w:val="0"/>
          <w:color w:val="333333"/>
          <w:spacing w:val="0"/>
          <w:sz w:val="21"/>
          <w:szCs w:val="21"/>
          <w:bdr w:val="none" w:color="auto" w:sz="0" w:space="0"/>
          <w:shd w:val="clear" w:fill="FFFFFF"/>
        </w:rPr>
        <w:t>文明办[2014]4号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各省、自治区、</w: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07519A"/>
          <w:spacing w:val="0"/>
          <w:sz w:val="24"/>
          <w:szCs w:val="24"/>
          <w:u w:val="none"/>
          <w:bdr w:val="none" w:color="auto" w:sz="0" w:space="0"/>
          <w:shd w:val="clear" w:fill="FFFFFF"/>
        </w:rPr>
        <w:instrText xml:space="preserve"> HYPERLINK "https://www.66law.cn/hlzzq/" \o "直辖市" \t "https://www.66law.cn/domainblog/_blank" </w:instrTex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caps w:val="0"/>
          <w:color w:val="07519A"/>
          <w:spacing w:val="0"/>
          <w:sz w:val="24"/>
          <w:szCs w:val="24"/>
          <w:u w:val="none"/>
          <w:bdr w:val="none" w:color="auto" w:sz="0" w:space="0"/>
          <w:shd w:val="clear" w:fill="FFFFFF"/>
        </w:rPr>
        <w:t>直辖市</w: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4"/>
          <w:szCs w:val="24"/>
          <w:bdr w:val="none" w:color="auto" w:sz="0" w:space="0"/>
          <w:shd w:val="clear" w:fill="FFFFFF"/>
        </w:rPr>
        <w:t>文明办、高级人民法院、公安厅(局)、国资委、工商局、银监局，民航各地区管理局，各铁路局：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深入贯彻党的十八届三中全会精神，建立健全褒扬诚信、惩戒失信的机制，大力推动诚信建设，中央文明办、最高人民法院、公安部、国务院国资委、国家工商总局、中国银监会、中国民用航空局、中国铁路总公司联合签署了《“构建诚信 惩戒失信”合作备忘录》。现印发给你们，请认真贯彻执行。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2014年3月20日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中央文明办 最高人民法院 公安部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国务院国资委 国家工商总局 中国银监会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中国民用航空局 中国铁路总公司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贯彻党的十八届三中全会关于褒扬诚信、惩戒失信的工作部署，促进社会主体诚实守信，维护法律权威，树立诚信社会风尚，中央文明办、最高人民法院、公安部、国务院国资委、国家工商总局、中国银监会、中国民用航空局、中国铁路总公司就限制</w: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07519A"/>
          <w:spacing w:val="0"/>
          <w:sz w:val="24"/>
          <w:szCs w:val="24"/>
          <w:u w:val="none"/>
          <w:bdr w:val="none" w:color="auto" w:sz="0" w:space="0"/>
          <w:shd w:val="clear" w:fill="FFFFFF"/>
        </w:rPr>
        <w:instrText xml:space="preserve"> HYPERLINK "https://www.66law.cn/special/bzxr/" \o "失信被执行人" \t "https://www.66law.cn/domainblog/_blank" </w:instrTex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caps w:val="0"/>
          <w:color w:val="07519A"/>
          <w:spacing w:val="0"/>
          <w:sz w:val="24"/>
          <w:szCs w:val="24"/>
          <w:u w:val="none"/>
          <w:bdr w:val="none" w:color="auto" w:sz="0" w:space="0"/>
          <w:shd w:val="clear" w:fill="FFFFFF"/>
        </w:rPr>
        <w:t>失信被执行人</w: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4"/>
          <w:szCs w:val="24"/>
          <w:bdr w:val="none" w:color="auto" w:sz="0" w:space="0"/>
          <w:shd w:val="clear" w:fill="FFFFFF"/>
        </w:rPr>
        <w:t>高消费行为和采取其他信用惩戒措施达成如下意见。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一、信用惩戒的对象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信用惩戒对象为最高人民法院失信被执行人名单库中所有失信被执行人，以及被人民法院发出限制高消费令的其他被执行人(以下统称失信被执行人)。失信被执行人为自然人时，即为被执行人本人;失信被执行人为单位时，还包括其法定代表人、主要负责人、影响债务履行的直接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二、信用惩戒的内容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根据最高人民法院《关于限制被执行人高消费的若干规定》和《关于公布失信被执行人名单信息的若干规定》，最高人民法院统一在“全国法院失信被执行人名单信息公布与查询平台”上对失信被执行人发出限制高消费令，与相关部门一道，对失信被执行人限制高消费，并采取其他信用惩戒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三、信用惩戒的范围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一是禁止部分高消费行为，包括禁止乘坐飞机、列车软卧;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二是实施其他信用惩戒，包括限制在金融机构贷款或办理信用卡;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(以上两条的法律依据为最高人民法院司法解释)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三是失信被执行人为自然人的，不得担任企业的法定代表人、董事、监事、高级管理人员等。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(此条的法律依据为《中华人民共和国</w: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07519A"/>
          <w:spacing w:val="0"/>
          <w:sz w:val="24"/>
          <w:szCs w:val="24"/>
          <w:u w:val="none"/>
          <w:bdr w:val="none" w:color="auto" w:sz="0" w:space="0"/>
          <w:shd w:val="clear" w:fill="FFFFFF"/>
        </w:rPr>
        <w:instrText xml:space="preserve"> HYPERLINK "https://www.66law.cn/tiaoli/6.aspx" \o "公司法" \t "https://www.66law.cn/domainblog/_blank" </w:instrTex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caps w:val="0"/>
          <w:color w:val="07519A"/>
          <w:spacing w:val="0"/>
          <w:sz w:val="24"/>
          <w:szCs w:val="24"/>
          <w:u w:val="none"/>
          <w:bdr w:val="none" w:color="auto" w:sz="0" w:space="0"/>
          <w:shd w:val="clear" w:fill="FFFFFF"/>
        </w:rPr>
        <w:t>公司法</w:t>
      </w:r>
      <w:r>
        <w:rPr>
          <w:rFonts w:hint="eastAsia" w:ascii="微软雅黑" w:hAnsi="微软雅黑" w:eastAsia="微软雅黑" w:cs="微软雅黑"/>
          <w:i w:val="0"/>
          <w:caps w:val="0"/>
          <w:color w:val="07519A"/>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4"/>
          <w:szCs w:val="24"/>
          <w:bdr w:val="none" w:color="auto" w:sz="0" w:space="0"/>
          <w:shd w:val="clear" w:fill="FFFFFF"/>
        </w:rPr>
        <w:t>》第146条和国务院《企业法人法定代表人登记管理规定》第4条)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四、信用惩戒的实施方式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最高人民法院通过光盘、专线等信息技术手段向公安部、国务院国资委、国家工商总局、中国银监会、中国民用航空局、中国铁路总公司推送失信被执行人名单。相关部门收到名单后，在其管理系统中记载限制高消费和实施其他信用惩戒措施等内容的名单信息，或者要求受监管各企业、部门、行业成员和分支机构实时监控，进行有效信用惩戒。在媒体广为发布，对失信被执行人形成强大的舆论压力，营造构建诚信、惩戒失信的浓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五、信用惩戒的动态管理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被执行人因履行义务等原因，其失信信息被依法从最高人民法院失信被执行人名单库中删除后，最高人民法院应在两个工作日内通知各单位解除限制。对新增加的失信被执行人名单，最高人民法院应及时向各单位推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六、其他事宜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各部门应积极落实本合作备忘录，确保2014年3月31日前实现失信被执行人名单的推送，并对其联合实施限制高消费等信用惩戒。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具体合作细节由各部门相关业务、技术部门依法另行协商。</w:t>
      </w:r>
    </w:p>
    <w:p>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3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2019-07-03T08:44:05Z</dcterms:created>
  <dc:creator>lenovo</dc:creator>
  <cp:lastModifiedBy>白兔糖</cp:lastModifiedBy>
  <dcterms:modified xsi:type="dcterms:W3CDTF">2019-07-03T08:46:47Z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