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微软雅黑" w:hAnsi="微软雅黑" w:eastAsia="微软雅黑" w:cs="微软雅黑"/>
          <w:b w:val="0"/>
          <w:i w:val="0"/>
          <w:caps w:val="0"/>
          <w:color w:val="333333"/>
          <w:spacing w:val="0"/>
          <w:sz w:val="57"/>
          <w:szCs w:val="57"/>
        </w:rPr>
      </w:pPr>
      <w:r>
        <w:rPr>
          <w:rFonts w:hint="eastAsia" w:ascii="微软雅黑" w:hAnsi="微软雅黑" w:eastAsia="微软雅黑" w:cs="微软雅黑"/>
          <w:b w:val="0"/>
          <w:i w:val="0"/>
          <w:caps w:val="0"/>
          <w:color w:val="333333"/>
          <w:spacing w:val="0"/>
          <w:sz w:val="57"/>
          <w:szCs w:val="57"/>
          <w:bdr w:val="none" w:color="auto" w:sz="0" w:space="0"/>
          <w:shd w:val="clear" w:fill="FFFFFF"/>
        </w:rPr>
        <w:t>关于对失信被执行人实施限制</w:t>
      </w:r>
      <w:r>
        <w:rPr>
          <w:rFonts w:hint="eastAsia" w:ascii="微软雅黑" w:hAnsi="微软雅黑" w:eastAsia="微软雅黑" w:cs="微软雅黑"/>
          <w:b w:val="0"/>
          <w:i w:val="0"/>
          <w:caps w:val="0"/>
          <w:color w:val="333333"/>
          <w:spacing w:val="0"/>
          <w:sz w:val="57"/>
          <w:szCs w:val="57"/>
          <w:bdr w:val="none" w:color="auto" w:sz="0" w:space="0"/>
          <w:shd w:val="clear" w:fill="FFFFFF"/>
        </w:rPr>
        <w:br w:type="textWrapping"/>
      </w:r>
      <w:r>
        <w:rPr>
          <w:rFonts w:hint="eastAsia" w:ascii="微软雅黑" w:hAnsi="微软雅黑" w:eastAsia="微软雅黑" w:cs="微软雅黑"/>
          <w:b w:val="0"/>
          <w:i w:val="0"/>
          <w:caps w:val="0"/>
          <w:color w:val="333333"/>
          <w:spacing w:val="0"/>
          <w:sz w:val="57"/>
          <w:szCs w:val="57"/>
          <w:bdr w:val="none" w:color="auto" w:sz="0" w:space="0"/>
          <w:shd w:val="clear" w:fill="FFFFFF"/>
        </w:rPr>
        <w:t>不动产交易惩戒措施的通知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898989"/>
          <w:spacing w:val="0"/>
          <w:sz w:val="21"/>
          <w:szCs w:val="21"/>
        </w:rPr>
      </w:pPr>
      <w:r>
        <w:rPr>
          <w:rFonts w:hint="eastAsia" w:ascii="宋体" w:hAnsi="宋体" w:eastAsia="宋体" w:cs="宋体"/>
          <w:i w:val="0"/>
          <w:caps w:val="0"/>
          <w:color w:val="000000"/>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i w:val="0"/>
          <w:caps w:val="0"/>
          <w:color w:val="000000"/>
          <w:spacing w:val="0"/>
          <w:kern w:val="0"/>
          <w:sz w:val="21"/>
          <w:szCs w:val="21"/>
          <w:u w:val="none"/>
          <w:bdr w:val="none" w:color="auto" w:sz="0" w:space="0"/>
          <w:shd w:val="clear" w:fill="FFFFFF"/>
          <w:lang w:val="en-US" w:eastAsia="zh-CN" w:bidi="ar"/>
        </w:rPr>
        <w:instrText xml:space="preserve"> HYPERLINK "http://share.gwd.gov.cn/" \t "http://www.gov.cn/xinwen/2018-03/16/_blank" </w:instrText>
      </w:r>
      <w:r>
        <w:rPr>
          <w:rFonts w:hint="eastAsia" w:ascii="宋体" w:hAnsi="宋体" w:eastAsia="宋体" w:cs="宋体"/>
          <w:i w:val="0"/>
          <w:caps w:val="0"/>
          <w:color w:val="000000"/>
          <w:spacing w:val="0"/>
          <w:kern w:val="0"/>
          <w:sz w:val="21"/>
          <w:szCs w:val="21"/>
          <w:u w:val="none"/>
          <w:bdr w:val="none" w:color="auto" w:sz="0" w:space="0"/>
          <w:shd w:val="clear" w:fill="FFFFFF"/>
          <w:lang w:val="en-US" w:eastAsia="zh-CN" w:bidi="ar"/>
        </w:rPr>
        <w:fldChar w:fldCharType="separate"/>
      </w:r>
      <w:r>
        <w:rPr>
          <w:rFonts w:hint="eastAsia" w:ascii="宋体" w:hAnsi="宋体" w:eastAsia="宋体" w:cs="宋体"/>
          <w:i w:val="0"/>
          <w:caps w:val="0"/>
          <w:color w:val="000000"/>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898989"/>
          <w:spacing w:val="0"/>
          <w:sz w:val="21"/>
          <w:szCs w:val="21"/>
        </w:rPr>
      </w:pPr>
      <w:r>
        <w:rPr>
          <w:rFonts w:hint="eastAsia" w:ascii="宋体" w:hAnsi="宋体" w:eastAsia="宋体" w:cs="宋体"/>
          <w:i w:val="0"/>
          <w:caps w:val="0"/>
          <w:color w:val="000000"/>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i w:val="0"/>
          <w:caps w:val="0"/>
          <w:color w:val="000000"/>
          <w:spacing w:val="0"/>
          <w:kern w:val="0"/>
          <w:sz w:val="21"/>
          <w:szCs w:val="21"/>
          <w:u w:val="none"/>
          <w:bdr w:val="none" w:color="auto" w:sz="0" w:space="0"/>
          <w:shd w:val="clear" w:fill="FFFFFF"/>
          <w:lang w:val="en-US" w:eastAsia="zh-CN" w:bidi="ar"/>
        </w:rPr>
        <w:instrText xml:space="preserve"> HYPERLINK "http://www.gov.cn/xinwen/2018-03/16/content_5274726.htm" \o "微信" </w:instrText>
      </w:r>
      <w:r>
        <w:rPr>
          <w:rFonts w:hint="eastAsia" w:ascii="宋体" w:hAnsi="宋体" w:eastAsia="宋体" w:cs="宋体"/>
          <w:i w:val="0"/>
          <w:caps w:val="0"/>
          <w:color w:val="000000"/>
          <w:spacing w:val="0"/>
          <w:kern w:val="0"/>
          <w:sz w:val="21"/>
          <w:szCs w:val="21"/>
          <w:u w:val="none"/>
          <w:bdr w:val="none" w:color="auto" w:sz="0" w:space="0"/>
          <w:shd w:val="clear" w:fill="FFFFFF"/>
          <w:lang w:val="en-US" w:eastAsia="zh-CN" w:bidi="ar"/>
        </w:rPr>
        <w:fldChar w:fldCharType="separate"/>
      </w:r>
      <w:r>
        <w:rPr>
          <w:rStyle w:val="6"/>
          <w:rFonts w:hint="eastAsia" w:ascii="宋体" w:hAnsi="宋体" w:eastAsia="宋体" w:cs="宋体"/>
          <w:i w:val="0"/>
          <w:caps w:val="0"/>
          <w:color w:val="000000"/>
          <w:spacing w:val="0"/>
          <w:sz w:val="21"/>
          <w:szCs w:val="21"/>
          <w:u w:val="none"/>
          <w:bdr w:val="none" w:color="auto" w:sz="0" w:space="0"/>
          <w:shd w:val="clear" w:fill="FFFFFF"/>
        </w:rPr>
        <w:t> </w:t>
      </w:r>
      <w:r>
        <w:rPr>
          <w:rFonts w:hint="eastAsia" w:ascii="宋体" w:hAnsi="宋体" w:eastAsia="宋体" w:cs="宋体"/>
          <w:i w:val="0"/>
          <w:caps w:val="0"/>
          <w:color w:val="000000"/>
          <w:spacing w:val="0"/>
          <w:kern w:val="0"/>
          <w:sz w:val="21"/>
          <w:szCs w:val="21"/>
          <w:u w:val="none"/>
          <w:bdr w:val="none" w:color="auto" w:sz="0" w:space="0"/>
          <w:shd w:val="clear" w:fill="FFFFFF"/>
          <w:lang w:val="en-US" w:eastAsia="zh-CN" w:bidi="ar"/>
        </w:rPr>
        <w:fldChar w:fldCharType="end"/>
      </w:r>
      <w:r>
        <w:rPr>
          <w:rFonts w:hint="eastAsia" w:ascii="宋体" w:hAnsi="宋体" w:eastAsia="宋体" w:cs="宋体"/>
          <w:i w:val="0"/>
          <w:caps w:val="0"/>
          <w:color w:val="000000"/>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i w:val="0"/>
          <w:caps w:val="0"/>
          <w:color w:val="000000"/>
          <w:spacing w:val="0"/>
          <w:kern w:val="0"/>
          <w:sz w:val="21"/>
          <w:szCs w:val="21"/>
          <w:u w:val="none"/>
          <w:bdr w:val="none" w:color="auto" w:sz="0" w:space="0"/>
          <w:shd w:val="clear" w:fill="FFFFFF"/>
          <w:lang w:val="en-US" w:eastAsia="zh-CN" w:bidi="ar"/>
        </w:rPr>
        <w:instrText xml:space="preserve"> HYPERLINK "http://www.gov.cn/xinwen/2018-03/16/content_5274726.htm" \o "新浪微博" </w:instrText>
      </w:r>
      <w:r>
        <w:rPr>
          <w:rFonts w:hint="eastAsia" w:ascii="宋体" w:hAnsi="宋体" w:eastAsia="宋体" w:cs="宋体"/>
          <w:i w:val="0"/>
          <w:caps w:val="0"/>
          <w:color w:val="000000"/>
          <w:spacing w:val="0"/>
          <w:kern w:val="0"/>
          <w:sz w:val="21"/>
          <w:szCs w:val="21"/>
          <w:u w:val="none"/>
          <w:bdr w:val="none" w:color="auto" w:sz="0" w:space="0"/>
          <w:shd w:val="clear" w:fill="FFFFFF"/>
          <w:lang w:val="en-US" w:eastAsia="zh-CN" w:bidi="ar"/>
        </w:rPr>
        <w:fldChar w:fldCharType="separate"/>
      </w:r>
      <w:r>
        <w:rPr>
          <w:rStyle w:val="6"/>
          <w:rFonts w:hint="eastAsia" w:ascii="宋体" w:hAnsi="宋体" w:eastAsia="宋体" w:cs="宋体"/>
          <w:i w:val="0"/>
          <w:caps w:val="0"/>
          <w:color w:val="000000"/>
          <w:spacing w:val="0"/>
          <w:sz w:val="21"/>
          <w:szCs w:val="21"/>
          <w:u w:val="none"/>
          <w:bdr w:val="none" w:color="auto" w:sz="0" w:space="0"/>
          <w:shd w:val="clear" w:fill="FFFFFF"/>
        </w:rPr>
        <w:t> </w:t>
      </w:r>
      <w:r>
        <w:rPr>
          <w:rFonts w:hint="eastAsia" w:ascii="宋体" w:hAnsi="宋体" w:eastAsia="宋体" w:cs="宋体"/>
          <w:i w:val="0"/>
          <w:caps w:val="0"/>
          <w:color w:val="000000"/>
          <w:spacing w:val="0"/>
          <w:kern w:val="0"/>
          <w:sz w:val="21"/>
          <w:szCs w:val="21"/>
          <w:u w:val="none"/>
          <w:bdr w:val="none" w:color="auto" w:sz="0" w:space="0"/>
          <w:shd w:val="clear" w:fill="FFFFFF"/>
          <w:lang w:val="en-US" w:eastAsia="zh-CN" w:bidi="ar"/>
        </w:rPr>
        <w:fldChar w:fldCharType="end"/>
      </w:r>
      <w:r>
        <w:rPr>
          <w:rFonts w:hint="eastAsia" w:ascii="宋体" w:hAnsi="宋体" w:eastAsia="宋体" w:cs="宋体"/>
          <w:i w:val="0"/>
          <w:caps w:val="0"/>
          <w:color w:val="898989"/>
          <w:spacing w:val="0"/>
          <w:kern w:val="0"/>
          <w:sz w:val="21"/>
          <w:szCs w:val="21"/>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center"/>
        <w:rPr>
          <w:sz w:val="24"/>
          <w:szCs w:val="24"/>
        </w:rPr>
      </w:pPr>
      <w:bookmarkStart w:id="0" w:name="_GoBack"/>
      <w:r>
        <w:rPr>
          <w:rFonts w:hint="eastAsia" w:ascii="宋体" w:hAnsi="宋体" w:eastAsia="宋体" w:cs="宋体"/>
          <w:b/>
          <w:i w:val="0"/>
          <w:caps w:val="0"/>
          <w:color w:val="333399"/>
          <w:spacing w:val="0"/>
          <w:sz w:val="24"/>
          <w:szCs w:val="24"/>
          <w:bdr w:val="none" w:color="auto" w:sz="0" w:space="0"/>
          <w:shd w:val="clear" w:fill="FFFFFF"/>
        </w:rPr>
        <w:t>关于对失信被执行人实施限制不动产交易惩戒措施的通知</w:t>
      </w:r>
      <w:r>
        <w:rPr>
          <w:rFonts w:hint="eastAsia" w:ascii="宋体" w:hAnsi="宋体" w:eastAsia="宋体" w:cs="宋体"/>
          <w:i w:val="0"/>
          <w:caps w:val="0"/>
          <w:color w:val="333399"/>
          <w:spacing w:val="0"/>
          <w:sz w:val="24"/>
          <w:szCs w:val="24"/>
          <w:bdr w:val="none" w:color="auto" w:sz="0" w:space="0"/>
          <w:shd w:val="clear" w:fill="FFFFFF"/>
        </w:rPr>
        <w:br w:type="textWrapping"/>
      </w:r>
      <w:r>
        <w:rPr>
          <w:rFonts w:ascii="楷体" w:hAnsi="楷体" w:eastAsia="楷体" w:cs="楷体"/>
          <w:i w:val="0"/>
          <w:caps w:val="0"/>
          <w:color w:val="333399"/>
          <w:spacing w:val="0"/>
          <w:sz w:val="24"/>
          <w:szCs w:val="24"/>
          <w:bdr w:val="none" w:color="auto" w:sz="0" w:space="0"/>
          <w:shd w:val="clear" w:fill="FFFFFF"/>
        </w:rPr>
        <w:t>发改财金〔2018〕370号</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600" w:lineRule="exact"/>
        <w:ind w:left="0" w:right="0"/>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各省、自治区、直辖市、新疆生产建设兵团社会信用体系建设牵头单位、高级人民法院、国土资源厅（局）：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600" w:lineRule="exact"/>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为深入学习贯彻习近平新时代中国特色社会主义思想和党的十九大精神，进一步落实</w:t>
      </w:r>
      <w:r>
        <w:rPr>
          <w:rFonts w:hint="eastAsia" w:ascii="微软雅黑" w:hAnsi="微软雅黑" w:eastAsia="微软雅黑" w:cs="微软雅黑"/>
          <w:i w:val="0"/>
          <w:caps w:val="0"/>
          <w:color w:val="333333"/>
          <w:spacing w:val="0"/>
          <w:sz w:val="24"/>
          <w:szCs w:val="24"/>
          <w:shd w:val="clear" w:fill="FFFFFF"/>
        </w:rPr>
        <w:fldChar w:fldCharType="begin"/>
      </w:r>
      <w:r>
        <w:rPr>
          <w:rFonts w:hint="eastAsia" w:ascii="微软雅黑" w:hAnsi="微软雅黑" w:eastAsia="微软雅黑" w:cs="微软雅黑"/>
          <w:i w:val="0"/>
          <w:caps w:val="0"/>
          <w:color w:val="333333"/>
          <w:spacing w:val="0"/>
          <w:sz w:val="24"/>
          <w:szCs w:val="24"/>
          <w:shd w:val="clear" w:fill="FFFFFF"/>
        </w:rPr>
        <w:instrText xml:space="preserve"> HYPERLINK "http://www.gov.cn/zhengce/2016-09/25/content_5111921.htm" \t "http://www.gov.cn/xinwen/2018-03/16/_blank" </w:instrText>
      </w:r>
      <w:r>
        <w:rPr>
          <w:rFonts w:hint="eastAsia" w:ascii="微软雅黑" w:hAnsi="微软雅黑" w:eastAsia="微软雅黑" w:cs="微软雅黑"/>
          <w:i w:val="0"/>
          <w:caps w:val="0"/>
          <w:color w:val="333333"/>
          <w:spacing w:val="0"/>
          <w:sz w:val="24"/>
          <w:szCs w:val="24"/>
          <w:shd w:val="clear" w:fill="FFFFFF"/>
        </w:rPr>
        <w:fldChar w:fldCharType="separate"/>
      </w:r>
      <w:r>
        <w:rPr>
          <w:rFonts w:hint="eastAsia" w:ascii="微软雅黑" w:hAnsi="微软雅黑" w:eastAsia="微软雅黑" w:cs="微软雅黑"/>
          <w:i w:val="0"/>
          <w:caps w:val="0"/>
          <w:color w:val="333333"/>
          <w:spacing w:val="0"/>
          <w:sz w:val="24"/>
          <w:szCs w:val="24"/>
          <w:shd w:val="clear" w:fill="FFFFFF"/>
        </w:rPr>
        <w:t>《中共中央办公厅 国务院办公厅关于加快推进失信被执行人信用监督、警示和惩戒机制建设的意见》</w:t>
      </w:r>
      <w:r>
        <w:rPr>
          <w:rFonts w:hint="eastAsia" w:ascii="微软雅黑" w:hAnsi="微软雅黑" w:eastAsia="微软雅黑" w:cs="微软雅黑"/>
          <w:i w:val="0"/>
          <w:caps w:val="0"/>
          <w:color w:val="333333"/>
          <w:spacing w:val="0"/>
          <w:sz w:val="24"/>
          <w:szCs w:val="24"/>
          <w:shd w:val="clear" w:fill="FFFFFF"/>
        </w:rPr>
        <w:fldChar w:fldCharType="end"/>
      </w:r>
      <w:r>
        <w:rPr>
          <w:rFonts w:hint="eastAsia" w:ascii="微软雅黑" w:hAnsi="微软雅黑" w:eastAsia="微软雅黑" w:cs="微软雅黑"/>
          <w:i w:val="0"/>
          <w:caps w:val="0"/>
          <w:color w:val="333333"/>
          <w:spacing w:val="0"/>
          <w:sz w:val="24"/>
          <w:szCs w:val="24"/>
          <w:shd w:val="clear" w:fill="FFFFFF"/>
        </w:rPr>
        <w:t>（中办发〔2016〕64号）、</w:t>
      </w:r>
      <w:r>
        <w:rPr>
          <w:rFonts w:hint="eastAsia" w:ascii="微软雅黑" w:hAnsi="微软雅黑" w:eastAsia="微软雅黑" w:cs="微软雅黑"/>
          <w:i w:val="0"/>
          <w:caps w:val="0"/>
          <w:color w:val="333333"/>
          <w:spacing w:val="0"/>
          <w:sz w:val="24"/>
          <w:szCs w:val="24"/>
          <w:shd w:val="clear" w:fill="FFFFFF"/>
        </w:rPr>
        <w:fldChar w:fldCharType="begin"/>
      </w:r>
      <w:r>
        <w:rPr>
          <w:rFonts w:hint="eastAsia" w:ascii="微软雅黑" w:hAnsi="微软雅黑" w:eastAsia="微软雅黑" w:cs="微软雅黑"/>
          <w:i w:val="0"/>
          <w:caps w:val="0"/>
          <w:color w:val="333333"/>
          <w:spacing w:val="0"/>
          <w:sz w:val="24"/>
          <w:szCs w:val="24"/>
          <w:shd w:val="clear" w:fill="FFFFFF"/>
        </w:rPr>
        <w:instrText xml:space="preserve"> HYPERLINK "http://www.gov.cn/zhengce/content/2016-06/12/content_5081222.htm" \t "http://www.gov.cn/xinwen/2018-03/16/_blank" </w:instrText>
      </w:r>
      <w:r>
        <w:rPr>
          <w:rFonts w:hint="eastAsia" w:ascii="微软雅黑" w:hAnsi="微软雅黑" w:eastAsia="微软雅黑" w:cs="微软雅黑"/>
          <w:i w:val="0"/>
          <w:caps w:val="0"/>
          <w:color w:val="333333"/>
          <w:spacing w:val="0"/>
          <w:sz w:val="24"/>
          <w:szCs w:val="24"/>
          <w:shd w:val="clear" w:fill="FFFFFF"/>
        </w:rPr>
        <w:fldChar w:fldCharType="separate"/>
      </w:r>
      <w:r>
        <w:rPr>
          <w:rFonts w:hint="eastAsia" w:ascii="微软雅黑" w:hAnsi="微软雅黑" w:eastAsia="微软雅黑" w:cs="微软雅黑"/>
          <w:i w:val="0"/>
          <w:caps w:val="0"/>
          <w:color w:val="333333"/>
          <w:spacing w:val="0"/>
          <w:sz w:val="24"/>
          <w:szCs w:val="24"/>
          <w:shd w:val="clear" w:fill="FFFFFF"/>
        </w:rPr>
        <w:t>《国务院关于建立完善守信联合激励和失信联合惩戒制度加快推进社会诚信建设的指导意见》</w:t>
      </w:r>
      <w:r>
        <w:rPr>
          <w:rFonts w:hint="eastAsia" w:ascii="微软雅黑" w:hAnsi="微软雅黑" w:eastAsia="微软雅黑" w:cs="微软雅黑"/>
          <w:i w:val="0"/>
          <w:caps w:val="0"/>
          <w:color w:val="333333"/>
          <w:spacing w:val="0"/>
          <w:sz w:val="24"/>
          <w:szCs w:val="24"/>
          <w:shd w:val="clear" w:fill="FFFFFF"/>
        </w:rPr>
        <w:fldChar w:fldCharType="end"/>
      </w:r>
      <w:r>
        <w:rPr>
          <w:rFonts w:hint="eastAsia" w:ascii="微软雅黑" w:hAnsi="微软雅黑" w:eastAsia="微软雅黑" w:cs="微软雅黑"/>
          <w:i w:val="0"/>
          <w:caps w:val="0"/>
          <w:color w:val="333333"/>
          <w:spacing w:val="0"/>
          <w:sz w:val="24"/>
          <w:szCs w:val="24"/>
          <w:shd w:val="clear" w:fill="FFFFFF"/>
        </w:rPr>
        <w:t>（国发〔2016〕33号）和《最高人民法院关于限制被执行人高消费的若干规定》（法释〔2010〕8号）等有关要求，加大对失信被执行人的惩戒力度，建立健全联</w:t>
      </w:r>
      <w:r>
        <w:rPr>
          <w:rFonts w:hint="eastAsia" w:ascii="微软雅黑" w:hAnsi="微软雅黑" w:eastAsia="微软雅黑" w:cs="微软雅黑"/>
          <w:i w:val="0"/>
          <w:caps w:val="0"/>
          <w:color w:val="333333"/>
          <w:spacing w:val="0"/>
          <w:sz w:val="24"/>
          <w:szCs w:val="24"/>
          <w:bdr w:val="none" w:color="auto" w:sz="0" w:space="0"/>
          <w:shd w:val="clear" w:fill="FFFFFF"/>
        </w:rPr>
        <w:t>合奖惩机制，国家发展改革委、最高人民法院、国土资源部共同对失信被执行人及失信被执行人的法定代表人、主要负责人、实际控制人、影响债务履行的直接责任人员，采取限制不动产交易的惩戒措施。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600" w:lineRule="exact"/>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一、各级人民法院限制失信被执行人及失信被执行人的法定代表人、主要负责人、实际控制人、影响债务履行的直接责任人员参与房屋司法拍卖。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600" w:lineRule="exact"/>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二、市、县国土资源部门限制失信被执行人及失信被执行人的法定代表人、主要负责人、实际控制人、影响债务履行的直接责任人员取得政府供应土地。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600" w:lineRule="exact"/>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各地国土资源部门与人民法院要积极推进建立同级不动产登记信息和失信被执行人名单信息互通共享机制，有条件的地区，国土资源部门在为失信被执行人及失信被执行人的法定代表人、主要负责人、实际控制人、影响债务履行的直接责任人员办理转移、抵押、变更等涉及不动产产权变化的不动产登记时，应将相关信息通报给人民法院，便于人民法院依法采取执行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600" w:lineRule="exact"/>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建立健全全国信用信息共享平台与国家不动产登记信息平台信息互通共享机制。全国信用信息共享平台将最高人民法院提供的失信被执行人名单信息及时推送至国家不动产登记信息平台；国家不动产登记信息平台将失信被执行人名下的不动产登记信息及时反馈至全国信用信息共享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600" w:lineRule="exact"/>
        <w:ind w:left="0" w:right="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国家发展改革委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最高人民法院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国 土 资 源 部      </w:t>
      </w:r>
      <w:r>
        <w:rPr>
          <w:rFonts w:hint="eastAsia" w:ascii="微软雅黑" w:hAnsi="微软雅黑" w:eastAsia="微软雅黑" w:cs="微软雅黑"/>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caps w:val="0"/>
          <w:color w:val="333333"/>
          <w:spacing w:val="0"/>
          <w:sz w:val="24"/>
          <w:szCs w:val="24"/>
          <w:bdr w:val="none" w:color="auto" w:sz="0" w:space="0"/>
          <w:shd w:val="clear" w:fill="FFFFFF"/>
        </w:rPr>
        <w:t>2018年3月1日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2019-07-03T08:53:03Z</dcterms:created>
  <dc:creator>lenovo</dc:creator>
  <cp:lastModifiedBy>白兔糖</cp:lastModifiedBy>
  <dcterms:modified xsi:type="dcterms:W3CDTF">2019-07-03T08:54:21Z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