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center"/>
        <w:textAlignment w:val="auto"/>
        <w:rPr>
          <w:rFonts w:hint="eastAsia" w:ascii="新宋体" w:hAnsi="新宋体" w:eastAsia="新宋体" w:cs="新宋体"/>
          <w:i w:val="0"/>
          <w:caps w:val="0"/>
          <w:color w:val="444444"/>
          <w:spacing w:val="0"/>
          <w:sz w:val="18"/>
          <w:szCs w:val="18"/>
        </w:rPr>
      </w:pPr>
      <w:bookmarkStart w:id="0" w:name="_GoBack"/>
      <w:r>
        <w:rPr>
          <w:rFonts w:hint="eastAsia" w:ascii="新宋体" w:hAnsi="新宋体" w:eastAsia="新宋体" w:cs="新宋体"/>
          <w:b/>
          <w:i w:val="0"/>
          <w:caps w:val="0"/>
          <w:color w:val="444444"/>
          <w:spacing w:val="0"/>
          <w:sz w:val="36"/>
          <w:szCs w:val="36"/>
          <w:shd w:val="clear" w:fill="FFFFFF"/>
        </w:rPr>
        <w:t>关于人民法院与银行业金融机构开展网络执行查控和联合信用惩戒工作的意见</w:t>
      </w:r>
    </w:p>
    <w:bookmarkEnd w:id="0"/>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center"/>
        <w:textAlignment w:val="auto"/>
        <w:rPr>
          <w:rFonts w:hint="eastAsia" w:ascii="新宋体" w:hAnsi="新宋体" w:eastAsia="新宋体" w:cs="新宋体"/>
          <w:i w:val="0"/>
          <w:caps w:val="0"/>
          <w:color w:val="444444"/>
          <w:spacing w:val="0"/>
          <w:sz w:val="18"/>
          <w:szCs w:val="18"/>
        </w:rPr>
      </w:pPr>
      <w:r>
        <w:rPr>
          <w:rFonts w:hint="eastAsia" w:ascii="新宋体" w:hAnsi="新宋体" w:eastAsia="新宋体" w:cs="新宋体"/>
          <w:i w:val="0"/>
          <w:caps w:val="0"/>
          <w:color w:val="444444"/>
          <w:spacing w:val="0"/>
          <w:sz w:val="18"/>
          <w:szCs w:val="18"/>
          <w:shd w:val="clear" w:fill="FFFFFF"/>
        </w:rPr>
        <w:t>法〔二○一四〕二六六号</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新宋体" w:hAnsi="新宋体" w:eastAsia="新宋体" w:cs="新宋体"/>
          <w:i w:val="0"/>
          <w:caps w:val="0"/>
          <w:color w:val="444444"/>
          <w:spacing w:val="0"/>
          <w:sz w:val="21"/>
          <w:szCs w:val="21"/>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新宋体" w:hAnsi="新宋体" w:eastAsia="新宋体" w:cs="新宋体"/>
          <w:i w:val="0"/>
          <w:caps w:val="0"/>
          <w:color w:val="444444"/>
          <w:spacing w:val="0"/>
          <w:sz w:val="21"/>
          <w:szCs w:val="21"/>
          <w:shd w:val="clear" w:fill="FFFFFF"/>
        </w:rPr>
        <w:t>   </w:t>
      </w:r>
      <w:r>
        <w:rPr>
          <w:rFonts w:hint="eastAsia" w:ascii="微软雅黑" w:hAnsi="微软雅黑" w:eastAsia="微软雅黑" w:cs="微软雅黑"/>
          <w:i w:val="0"/>
          <w:caps w:val="0"/>
          <w:color w:val="444444"/>
          <w:spacing w:val="0"/>
          <w:sz w:val="24"/>
          <w:szCs w:val="24"/>
          <w:shd w:val="clear" w:fill="FFFFFF"/>
        </w:rPr>
        <w:t> 各省、自治区、直辖市高级人民法院，解放军军事法院，新疆维吾尔自治区高级人民法院生产建设兵团分院；各银监局；各政策性银行、国有商业银行、股份制商业银行、邮储银行、各省级农村信用联社：</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为维护司法权威，防范金融风险，保障当事人合法权益，推动社会信用体系建设，根据《中华人民共和国民事诉讼法》《中华人民共和国商业银行法》及《关于建立和完善执行联动机制若干问题的意见》等规定，结合工作实际，最高人民法院和中国银行业监督管理委员会就人民法院和银行业金融机构开展网络执行查控和联合信用惩戒工作，提出如下意见：</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    一、最高人民法院、中国银行业监督管理委员会鼓励和支持各级人民法院与银行业金融机构通过网络信息化方式，开展执行与协助执行、联合对失信被执行人进行信用惩戒等工作。</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    二、最高人民法院、中国银行业监督管理委员会鼓励和支持银行业金融机构与人民法院建立网络执行查控机制，通过网络查询被执行人存款和其他金融资产信息，办理其他协助事项。</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    银行业金融机构应当推进电子信息化建设，协助人民法院建立网络执行查控机制。</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    三、中国银行业监督管理委员会督促指导各银行业金融机构确定专门机构和人员负责网络执行查控工作，及时准确反馈办理结果；鼓励和支持开发批量自动查控功能，实现查询数据的准确和高效。</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    四、中国银行业监督管理委员会鼓励和支持人民法院与银行业金融机构在完备法律手续、保证资金安全的情况下，逐步通过网络实施查询、冻结、扣划等执行措施。</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    银行业金融机构尚未与人民法院建立网络执行查控机制，或者协助事项不能通过网络办理的，应当根据法律、司法解释和有关规定，协助人民法院现场办理。</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    五、中国银行业监督管理委员会鼓励和支持银行业金融机构与人民法院以全国法院执行案件信息系统为基础，建立全国网络执行查控机制。</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    全国网络执行查控机制建设主要采取两种模式。一是 “总对总”联网，即最高人民法院通过中国银行业监督管理委员会金融专网通道与各银行业金融机构总行网络对接。各级人民法院通过最高人民法院网络执行查控系统实施查控。二是“点对点”联网，即高级人民法院通过当地银监局金融专网通道与各银行业金融机构省级分行网络对接。本地人民法院通过高级人民法院执行查控系统实施本地查控，外地法院通过最高人民法院网络中转接入当地高级人民法院执行查控系统实施查控。</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各级人民法院与银行业金融机构及其分支机构已协议通过专线或其他网络建立网络查控机制的，可继续按原有模式建设和运行。本意见下发后，采用第二款以外模式建设的，应当经最高人民法院和中国银行业监督管理委员会同意。</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六、人民法院与银行业金融机构建立了网络执行查控机制的，通过网络执行查控系统对被执行人存款或其他金融资产采取查控措施，按照《最高人民法院关于网络查询、冻结被执行人存款的规定》（法释〔2013〕20号）执行。</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    七、各级法院应当加强管理，确保依照法律、法规、司法解释以及金融监管规定，查询和使用被执行人银行账户等信息，确保有关人员严格遵守保密规定。</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八、最高人民法院、中国银行业监督管理委员会鼓励和支持银行业金融机构与人民法院建立联合信用惩戒机制。银行业金融机构与人民法院通过网络传输等方式，共享失信被执行人名单及其他执行案件信息；银行业金融机构依照法律、法规规定，在融资信贷等金融服务领域，对失信被执行人等采取限制贷款、限制办理信用卡等措施。</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    九、上级法院和银行业监管机构应当加强对网络执行查控机制和联合信用惩戒机制建设的监督指导，协调处理两个机制建设和运行中产生的分歧和争议。</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    建立了合作关系的人民法院、银行业金融机构应当安排专人协调处理两个机制运行中发生的争议。协调无果的，可通过上级法院、银行业监管机构协调解决。</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    建立了合作关系的人民法院、银行业金融机构应当制定应急预案，配备专门的技术人员处理两个机制运行中的突发事件，保障系统安全。</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十、银行业金融机构依法协助人民法院办理网络执行查控措施，当事人或者利害关系人有异议的，银行业金融机构应当告知其根据民事诉讼法第二百二十五条之规定向执行法院提出，但银行业金融机构未按照协助执行通知书办理的除外。</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    十一、人民法院与银行业金融机构关于协助执行的有关规范性文件与本意见不一致的，以本意见为准。</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                           最高人民法院  </w:t>
      </w:r>
      <w:r>
        <w:rPr>
          <w:rFonts w:hint="eastAsia" w:ascii="微软雅黑" w:hAnsi="微软雅黑" w:eastAsia="微软雅黑" w:cs="微软雅黑"/>
          <w:i w:val="0"/>
          <w:caps w:val="0"/>
          <w:color w:val="444444"/>
          <w:spacing w:val="0"/>
          <w:sz w:val="24"/>
          <w:szCs w:val="24"/>
          <w:shd w:val="clear" w:fill="FFFFFF"/>
          <w:lang w:val="en-US" w:eastAsia="zh-CN"/>
        </w:rPr>
        <w:t xml:space="preserve">   </w:t>
      </w:r>
      <w:r>
        <w:rPr>
          <w:rFonts w:hint="eastAsia" w:ascii="微软雅黑" w:hAnsi="微软雅黑" w:eastAsia="微软雅黑" w:cs="微软雅黑"/>
          <w:i w:val="0"/>
          <w:caps w:val="0"/>
          <w:color w:val="444444"/>
          <w:spacing w:val="0"/>
          <w:sz w:val="24"/>
          <w:szCs w:val="24"/>
          <w:shd w:val="clear" w:fill="FFFFFF"/>
        </w:rPr>
        <w:t>中国银行业监督管理委员会</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fill="FFFFFF"/>
        </w:rPr>
        <w:t>                                          2014年10月24日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679E9"/>
    <w:rsid w:val="45426B8C"/>
    <w:rsid w:val="5AF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2019-07-03T08:48:27Z</dcterms:created>
  <dc:creator>lenovo</dc:creator>
  <cp:lastModifiedBy>白兔糖</cp:lastModifiedBy>
  <dcterms:modified xsi:type="dcterms:W3CDTF">2019-07-03T08:51:02Z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